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9F73D2" w:rsidRPr="009F73D2" w:rsidTr="009F73D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73D2" w:rsidRPr="009F73D2" w:rsidRDefault="009F73D2" w:rsidP="009F73D2">
            <w:pPr>
              <w:spacing w:before="30" w:after="15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18.470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18.470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3D2" w:rsidRPr="009F73D2" w:rsidTr="009F73D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73D2" w:rsidRPr="009F73D2" w:rsidRDefault="009F73D2" w:rsidP="009F73D2">
            <w:pPr>
              <w:spacing w:before="30" w:after="15" w:line="240" w:lineRule="auto"/>
              <w:ind w:left="45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9F73D2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</w:t>
            </w:r>
            <w:proofErr w:type="gramStart"/>
            <w:r w:rsidRPr="009F73D2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9</w:t>
            </w:r>
            <w:proofErr w:type="gramEnd"/>
            <w:r w:rsidRPr="009F73D2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 -  </w:t>
            </w:r>
            <w:r w:rsidRPr="009F73D2">
              <w:rPr>
                <w:rFonts w:ascii="MSTT31c503" w:eastAsia="Arial Unicode MS" w:hAnsi="MSTT31c503" w:cs="Arial Unicode MS"/>
                <w:b/>
                <w:bCs/>
                <w:color w:val="000000"/>
                <w:sz w:val="20"/>
                <w:szCs w:val="20"/>
                <w:lang w:eastAsia="pt-BR"/>
              </w:rPr>
              <w:t>PENSE PRIMEIRO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503" w:eastAsia="Arial Unicode MS" w:hAnsi="MSTT31c503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Objetivos do Programa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Enfatizar que é importante aprender a pensar antes de falar.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Pensamento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Fechar a boca é o melhor ingrediente Para ser visto como inteligente.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Introdução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Como você responderia a cada uma das seguintes situações?</w:t>
            </w:r>
          </w:p>
          <w:p w:rsidR="009F73D2" w:rsidRPr="009F73D2" w:rsidRDefault="009F73D2" w:rsidP="009F73D2">
            <w:pPr>
              <w:numPr>
                <w:ilvl w:val="0"/>
                <w:numId w:val="1"/>
              </w:numPr>
              <w:spacing w:before="30" w:after="15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73D2">
              <w:rPr>
                <w:rFonts w:ascii="MSTT31c4cf" w:eastAsia="Arial Unicode MS" w:hAnsi="MSTT31c4cf" w:cs="Times New Roman"/>
                <w:color w:val="000000"/>
                <w:sz w:val="20"/>
                <w:szCs w:val="20"/>
                <w:lang w:eastAsia="pt-BR"/>
              </w:rPr>
              <w:t xml:space="preserve">Sua melhor amiga diz que os pais dela vão se divorciar, e ela </w:t>
            </w:r>
            <w:proofErr w:type="gramStart"/>
            <w:r w:rsidRPr="009F73D2">
              <w:rPr>
                <w:rFonts w:ascii="MSTT31c4cf" w:eastAsia="Arial Unicode MS" w:hAnsi="MSTT31c4cf" w:cs="Times New Roman"/>
                <w:color w:val="000000"/>
                <w:sz w:val="20"/>
                <w:szCs w:val="20"/>
                <w:lang w:eastAsia="pt-BR"/>
              </w:rPr>
              <w:t>precisa</w:t>
            </w:r>
            <w:proofErr w:type="gramEnd"/>
            <w:r w:rsidRPr="009F73D2">
              <w:rPr>
                <w:rFonts w:ascii="MSTT31c4cf" w:eastAsia="Arial Unicode MS" w:hAnsi="MSTT31c4cf" w:cs="Times New Roman"/>
                <w:color w:val="000000"/>
                <w:sz w:val="20"/>
                <w:szCs w:val="20"/>
                <w:lang w:eastAsia="pt-BR"/>
              </w:rPr>
              <w:t xml:space="preserve"> decidir com quem morar.</w:t>
            </w:r>
            <w:r w:rsidRPr="009F73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9F73D2" w:rsidRPr="009F73D2" w:rsidRDefault="009F73D2" w:rsidP="009F73D2">
            <w:pPr>
              <w:numPr>
                <w:ilvl w:val="0"/>
                <w:numId w:val="1"/>
              </w:numPr>
              <w:spacing w:before="30" w:after="15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73D2">
              <w:rPr>
                <w:rFonts w:ascii="MSTT31c4cf" w:eastAsia="Arial Unicode MS" w:hAnsi="MSTT31c4cf" w:cs="Times New Roman"/>
                <w:color w:val="000000"/>
                <w:sz w:val="20"/>
                <w:szCs w:val="20"/>
                <w:lang w:eastAsia="pt-BR"/>
              </w:rPr>
              <w:t>Seu vizinho diz que o filho está com leucemia e quer saber por que Deus permitiria sofrimento a uma criança pequena.</w:t>
            </w:r>
            <w:r w:rsidRPr="009F73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9F73D2" w:rsidRPr="009F73D2" w:rsidRDefault="009F73D2" w:rsidP="009F73D2">
            <w:pPr>
              <w:numPr>
                <w:ilvl w:val="0"/>
                <w:numId w:val="1"/>
              </w:numPr>
              <w:spacing w:before="30" w:after="15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73D2">
              <w:rPr>
                <w:rFonts w:ascii="MSTT31c4cf" w:eastAsia="Arial Unicode MS" w:hAnsi="MSTT31c4cf" w:cs="Times New Roman"/>
                <w:color w:val="000000"/>
                <w:sz w:val="20"/>
                <w:szCs w:val="20"/>
                <w:lang w:eastAsia="pt-BR"/>
              </w:rPr>
              <w:t>Um colega de turma perde ambos os pais num acidente trágico e talvez ele tenha que sair da escola.</w:t>
            </w:r>
            <w:r w:rsidRPr="009F73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9F73D2" w:rsidRPr="009F73D2" w:rsidRDefault="009F73D2" w:rsidP="009F73D2">
            <w:pPr>
              <w:numPr>
                <w:ilvl w:val="0"/>
                <w:numId w:val="1"/>
              </w:numPr>
              <w:spacing w:before="30" w:after="15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73D2">
              <w:rPr>
                <w:rFonts w:ascii="MSTT31c4cf" w:eastAsia="Arial Unicode MS" w:hAnsi="MSTT31c4cf" w:cs="Times New Roman"/>
                <w:color w:val="000000"/>
                <w:sz w:val="20"/>
                <w:szCs w:val="20"/>
                <w:lang w:eastAsia="pt-BR"/>
              </w:rPr>
              <w:t>O treinador do seu time é acusado de ser traficante e ninguém consegue acreditar.</w:t>
            </w:r>
            <w:r w:rsidRPr="009F73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O Mapa do Tesouro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“Choque” talvez </w:t>
            </w:r>
            <w:proofErr w:type="gramStart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descreveria</w:t>
            </w:r>
            <w:proofErr w:type="gramEnd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 sua reação inicial em cada uma dessas situações. Talvez “incredulidade” também. Mas como você responderia? O que falaria? Muitos, é claro, seriam rápidos em dar conselho, oferecer palpite ou aplicar um ”</w:t>
            </w:r>
            <w:proofErr w:type="spellStart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band-aid</w:t>
            </w:r>
            <w:proofErr w:type="spellEnd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” espiritual.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Outros talvez </w:t>
            </w:r>
            <w:proofErr w:type="gramStart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seriam</w:t>
            </w:r>
            <w:proofErr w:type="gramEnd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 tentados a fofocar. Mas quantos teriam a sabedoria suficiente para parar,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pensar</w:t>
            </w:r>
            <w:proofErr w:type="gramEnd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, orar e simplesmente dar ouvidos à pessoa que está enfrentando uma crise? É isso que Provérbios </w:t>
            </w:r>
            <w:proofErr w:type="gramStart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recomenda</w:t>
            </w:r>
            <w:proofErr w:type="gramEnd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“O coração do justo medita o que há de responder</w:t>
            </w:r>
            <w:proofErr w:type="gramStart"/>
            <w:r w:rsidRPr="009F73D2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 xml:space="preserve"> mas</w:t>
            </w:r>
            <w:proofErr w:type="gramEnd"/>
            <w:r w:rsidRPr="009F73D2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 xml:space="preserve"> a boca dos perversos transborda maldades. No muito falar não falta transgressão, o que modera os lábios é prudente. Tens visto um homem precipitado nas suas palavras? maior esperança há para o insensato do que para el</w:t>
            </w: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e”. Provérbios </w:t>
            </w:r>
            <w:proofErr w:type="gramStart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15:28</w:t>
            </w:r>
            <w:proofErr w:type="gramEnd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; 10:19; 29:20.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À luz dessas advertências, um bom lema para o cristão seria: “Pare, ouça e pense!”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Cavando Fundo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) Por que é perigoso dar conselhos antes de realmente examinar todos os ângulos de uma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lastRenderedPageBreak/>
              <w:t>questão</w:t>
            </w:r>
            <w:proofErr w:type="gramEnd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?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) Você se lembra de um discípulo de Jesus, Pedro, que sofreu da síndrome ”boca grande”?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Como ele ilustrou a tolice de falar antes de pensar? Veja Mateus 17:1-8.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) Leia Tiago 3:1,2. Por que é melhor ser conhecido como uma pessoa de poucas palavras, do que sempre espalhar suas opiniões?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Abrindo o Baú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Você tem a tendência de falar antes de realmente ouvir? Ou talvez de pensar no que você vai responder enquanto a outra pessoa ainda está falando?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Procure hoje ser um ouvinte de verdade, fazendo perguntas inteligentes para esclarecimento e pedindo que Deus lhe dê um coração compreensivo.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Uma Oração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Pai</w:t>
            </w:r>
            <w:proofErr w:type="gramStart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, ajuda-me</w:t>
            </w:r>
            <w:proofErr w:type="gramEnd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 a ser cuidadoso nos conselhos que dou. Ensina-me a pensar antes de dar palpites, a amar antes de avisar e a compreender antes de aconselhar. Amém.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Um Brilhante</w:t>
            </w:r>
          </w:p>
          <w:p w:rsidR="009F73D2" w:rsidRPr="009F73D2" w:rsidRDefault="009F73D2" w:rsidP="009F73D2">
            <w:pPr>
              <w:spacing w:before="30" w:after="15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F73D2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>“Responder antes de ouvir é estultícia e vergonh</w:t>
            </w:r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a” (Provérbios </w:t>
            </w:r>
            <w:proofErr w:type="gramStart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18:13</w:t>
            </w:r>
            <w:proofErr w:type="gramEnd"/>
            <w:r w:rsidRPr="009F73D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)..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TT31c50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4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8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c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9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1F4F"/>
    <w:multiLevelType w:val="multilevel"/>
    <w:tmpl w:val="E16A6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F73D2"/>
    <w:rsid w:val="006B284B"/>
    <w:rsid w:val="009F73D2"/>
    <w:rsid w:val="00B4117D"/>
    <w:rsid w:val="00F7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2012-10-05T18:59:00Z</dcterms:created>
  <dcterms:modified xsi:type="dcterms:W3CDTF">2012-10-05T18:59:00Z</dcterms:modified>
</cp:coreProperties>
</file>