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8504"/>
      </w:tblGrid>
      <w:tr w:rsidR="00974FD1" w:rsidRPr="00974FD1" w:rsidTr="00974FD1">
        <w:trPr>
          <w:jc w:val="center"/>
        </w:trPr>
        <w:tc>
          <w:tcPr>
            <w:tcW w:w="5000" w:type="pct"/>
            <w:tcBorders>
              <w:top w:val="nil"/>
              <w:left w:val="nil"/>
              <w:bottom w:val="nil"/>
              <w:right w:val="nil"/>
            </w:tcBorders>
            <w:shd w:val="clear" w:color="auto" w:fill="FFFFFF"/>
            <w:vAlign w:val="center"/>
            <w:hideMark/>
          </w:tcPr>
          <w:p w:rsidR="00974FD1" w:rsidRPr="00974FD1" w:rsidRDefault="00974FD1" w:rsidP="00974FD1">
            <w:pPr>
              <w:spacing w:before="27" w:after="14" w:line="240" w:lineRule="auto"/>
              <w:ind w:left="41"/>
              <w:rPr>
                <w:rFonts w:ascii="Times New Roman" w:eastAsia="Times New Roman" w:hAnsi="Times New Roman" w:cs="Times New Roman"/>
                <w:sz w:val="24"/>
                <w:szCs w:val="24"/>
                <w:lang w:eastAsia="pt-BR"/>
              </w:rPr>
            </w:pPr>
            <w:r>
              <w:rPr>
                <w:rFonts w:ascii="Arial" w:eastAsia="Times New Roman" w:hAnsi="Arial" w:cs="Arial"/>
                <w:noProof/>
                <w:sz w:val="20"/>
                <w:szCs w:val="20"/>
                <w:lang w:eastAsia="pt-BR"/>
              </w:rPr>
              <w:drawing>
                <wp:inline distT="0" distB="0" distL="0" distR="0">
                  <wp:extent cx="7151370" cy="1906270"/>
                  <wp:effectExtent l="19050" t="0" r="0" b="0"/>
                  <wp:docPr id="1" name="Imagem 1" descr="C:\Users\User\AppData\Local\Temp\Rar$EX94.846\Programas JA CDJA\ban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EX94.846\Programas JA CDJA\banner.gif"/>
                          <pic:cNvPicPr>
                            <a:picLocks noChangeAspect="1" noChangeArrowheads="1"/>
                          </pic:cNvPicPr>
                        </pic:nvPicPr>
                        <pic:blipFill>
                          <a:blip r:embed="rId4"/>
                          <a:srcRect/>
                          <a:stretch>
                            <a:fillRect/>
                          </a:stretch>
                        </pic:blipFill>
                        <pic:spPr bwMode="auto">
                          <a:xfrm>
                            <a:off x="0" y="0"/>
                            <a:ext cx="7151370" cy="1906270"/>
                          </a:xfrm>
                          <a:prstGeom prst="rect">
                            <a:avLst/>
                          </a:prstGeom>
                          <a:noFill/>
                          <a:ln w="9525">
                            <a:noFill/>
                            <a:miter lim="800000"/>
                            <a:headEnd/>
                            <a:tailEnd/>
                          </a:ln>
                        </pic:spPr>
                      </pic:pic>
                    </a:graphicData>
                  </a:graphic>
                </wp:inline>
              </w:drawing>
            </w:r>
          </w:p>
        </w:tc>
      </w:tr>
      <w:tr w:rsidR="00974FD1" w:rsidRPr="00974FD1" w:rsidTr="00974FD1">
        <w:trPr>
          <w:jc w:val="center"/>
        </w:trPr>
        <w:tc>
          <w:tcPr>
            <w:tcW w:w="5000" w:type="pct"/>
            <w:tcBorders>
              <w:top w:val="nil"/>
              <w:left w:val="nil"/>
              <w:bottom w:val="nil"/>
              <w:right w:val="nil"/>
            </w:tcBorders>
            <w:shd w:val="clear" w:color="auto" w:fill="FFFFFF"/>
            <w:vAlign w:val="center"/>
            <w:hideMark/>
          </w:tcPr>
          <w:p w:rsidR="00974FD1" w:rsidRPr="00974FD1" w:rsidRDefault="00974FD1" w:rsidP="00974FD1">
            <w:pPr>
              <w:spacing w:before="27" w:after="14" w:line="240" w:lineRule="auto"/>
              <w:rPr>
                <w:rFonts w:ascii="Arial" w:eastAsia="Times New Roman" w:hAnsi="Arial" w:cs="Arial"/>
                <w:sz w:val="20"/>
                <w:szCs w:val="20"/>
                <w:lang w:eastAsia="pt-BR"/>
              </w:rPr>
            </w:pPr>
            <w:r w:rsidRPr="00974FD1">
              <w:rPr>
                <w:rFonts w:ascii="Arial" w:eastAsia="Times New Roman" w:hAnsi="Arial" w:cs="Arial"/>
                <w:b/>
                <w:bCs/>
                <w:sz w:val="20"/>
                <w:szCs w:val="20"/>
                <w:lang w:eastAsia="pt-BR"/>
              </w:rPr>
              <w:t xml:space="preserve">Revista Ação Jovem -  </w:t>
            </w:r>
            <w:r w:rsidRPr="00974FD1">
              <w:rPr>
                <w:rFonts w:ascii="MSTT31c537" w:eastAsia="Times New Roman" w:hAnsi="MSTT31c537" w:cs="Arial"/>
                <w:b/>
                <w:bCs/>
                <w:color w:val="000000"/>
                <w:sz w:val="20"/>
                <w:szCs w:val="20"/>
                <w:lang w:eastAsia="pt-BR"/>
              </w:rPr>
              <w:t>MATERIAIS PARA O EVANGELISMO</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537" w:eastAsia="Times New Roman" w:hAnsi="MSTT31c537" w:cs="Times New Roman"/>
                <w:color w:val="000000"/>
                <w:sz w:val="24"/>
                <w:szCs w:val="24"/>
                <w:lang w:eastAsia="pt-BR"/>
              </w:rPr>
              <w:t> </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537" w:eastAsia="Times New Roman" w:hAnsi="MSTT31c537" w:cs="Times New Roman"/>
                <w:b/>
                <w:bCs/>
                <w:color w:val="000000"/>
                <w:sz w:val="24"/>
                <w:szCs w:val="24"/>
                <w:lang w:eastAsia="pt-BR"/>
              </w:rPr>
              <w:t>Estudo Bíblico de Bolso</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São 28 temas da Bíblia, com 10 textos bíblicos cada um, para serem levados dentro da carteira. Sabe aquelas perguntas difíceis que lhe fazem quando você não tem uma Bíblia ou curso bíblico na mão?</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Agora não há mais problema. É só abrir a carteira, que normalmente está sempre com você, e responder a qualquer pergunta. Procure no Ministério Jovem de Sua associação /missão</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537" w:eastAsia="Times New Roman" w:hAnsi="MSTT31c537" w:cs="Times New Roman"/>
                <w:b/>
                <w:bCs/>
                <w:color w:val="000000"/>
                <w:sz w:val="24"/>
                <w:szCs w:val="24"/>
                <w:lang w:eastAsia="pt-BR"/>
              </w:rPr>
              <w:t>Registro de Líder JA</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Agora você pode Desenvolver os três novos níveis de liderança e investidura JA com um registro especial. Líder investido é líder bem preparado. Seu Departamental de Jovens tem esse registro à sua disposição.</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537" w:eastAsia="Times New Roman" w:hAnsi="MSTT31c537" w:cs="Times New Roman"/>
                <w:b/>
                <w:bCs/>
                <w:color w:val="000000"/>
                <w:sz w:val="24"/>
                <w:szCs w:val="24"/>
                <w:lang w:eastAsia="pt-BR"/>
              </w:rPr>
              <w:t>Estudo Bíblico A Bíblia ensina para jovens</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xml:space="preserve">São 18 estudos, com os principais temas doutrinários da Bíblia, com apresentação, </w:t>
            </w:r>
            <w:r w:rsidRPr="00974FD1">
              <w:rPr>
                <w:rFonts w:ascii="MSTT31c49b" w:eastAsia="Times New Roman" w:hAnsi="MSTT31c49b" w:cs="Times New Roman"/>
                <w:color w:val="000000"/>
                <w:sz w:val="24"/>
                <w:szCs w:val="24"/>
                <w:lang w:eastAsia="pt-BR"/>
              </w:rPr>
              <w:t xml:space="preserve">design </w:t>
            </w:r>
            <w:r w:rsidRPr="00974FD1">
              <w:rPr>
                <w:rFonts w:ascii="MSTT31c481" w:eastAsia="Times New Roman" w:hAnsi="MSTT31c481" w:cs="Times New Roman"/>
                <w:color w:val="000000"/>
                <w:sz w:val="24"/>
                <w:szCs w:val="24"/>
                <w:lang w:eastAsia="pt-BR"/>
              </w:rPr>
              <w:t>e introduções especiais para jovens. As lições são separadas, o que facilita entregá-las regularmente a um amigo apenas como uma mensagem especial, ou podem ser usadas a cada semana para estudar a Bíblia com alguém.</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Procure no Ministério Jovem de sua Associação ou Missão.</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537" w:eastAsia="Times New Roman" w:hAnsi="MSTT31c537" w:cs="Times New Roman"/>
                <w:b/>
                <w:bCs/>
                <w:color w:val="000000"/>
                <w:sz w:val="24"/>
                <w:szCs w:val="24"/>
                <w:lang w:eastAsia="pt-BR"/>
              </w:rPr>
              <w:t>L i v r o Só para jovens</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xml:space="preserve">É uma seleção de seis seções do livro "Mensagens aos Jovens" com linguagem atualizada. Os textos Bíblicos são da "Nova Tradução na Linguagem de Hoje" e no final foi acrescentado um guia de estudos para pequenos grupos de jovens. É uma nova edição útil para leitura pessoal (é um dos livros do curso de leitura JA) e para </w:t>
            </w:r>
            <w:proofErr w:type="gramStart"/>
            <w:r w:rsidRPr="00974FD1">
              <w:rPr>
                <w:rFonts w:ascii="MSTT31c481" w:eastAsia="Times New Roman" w:hAnsi="MSTT31c481" w:cs="Times New Roman"/>
                <w:color w:val="000000"/>
                <w:sz w:val="24"/>
                <w:szCs w:val="24"/>
                <w:lang w:eastAsia="pt-BR"/>
              </w:rPr>
              <w:t>dinâmicas e pequenos grupos</w:t>
            </w:r>
            <w:proofErr w:type="gramEnd"/>
            <w:r w:rsidRPr="00974FD1">
              <w:rPr>
                <w:rFonts w:ascii="MSTT31c481" w:eastAsia="Times New Roman" w:hAnsi="MSTT31c481" w:cs="Times New Roman"/>
                <w:color w:val="000000"/>
                <w:sz w:val="24"/>
                <w:szCs w:val="24"/>
                <w:lang w:eastAsia="pt-BR"/>
              </w:rPr>
              <w:t>.</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Procure no Ministério Jovem de sua Associação ou Missão ou em uma loja do SELS.</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537" w:eastAsia="Times New Roman" w:hAnsi="MSTT31c537" w:cs="Times New Roman"/>
                <w:b/>
                <w:bCs/>
                <w:color w:val="000000"/>
                <w:sz w:val="24"/>
                <w:szCs w:val="24"/>
                <w:lang w:eastAsia="pt-BR"/>
              </w:rPr>
              <w:t>CD-ROM de Estudos Bíblicos</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481" w:eastAsia="Times New Roman" w:hAnsi="MSTT31c481" w:cs="Times New Roman"/>
                <w:color w:val="000000"/>
                <w:sz w:val="24"/>
                <w:szCs w:val="24"/>
                <w:lang w:eastAsia="pt-BR"/>
              </w:rPr>
              <w:t xml:space="preserve">É um folheto virtual. Ele tem 15 estudos em vídeo, apresentados pelo Pr. </w:t>
            </w:r>
            <w:proofErr w:type="spellStart"/>
            <w:r w:rsidRPr="00974FD1">
              <w:rPr>
                <w:rFonts w:ascii="MSTT31c481" w:eastAsia="Times New Roman" w:hAnsi="MSTT31c481" w:cs="Times New Roman"/>
                <w:color w:val="000000"/>
                <w:sz w:val="24"/>
                <w:szCs w:val="24"/>
                <w:lang w:eastAsia="pt-BR"/>
              </w:rPr>
              <w:t>Bullón</w:t>
            </w:r>
            <w:proofErr w:type="spellEnd"/>
            <w:r w:rsidRPr="00974FD1">
              <w:rPr>
                <w:rFonts w:ascii="MSTT31c481" w:eastAsia="Times New Roman" w:hAnsi="MSTT31c481" w:cs="Times New Roman"/>
                <w:color w:val="000000"/>
                <w:sz w:val="24"/>
                <w:szCs w:val="24"/>
                <w:lang w:eastAsia="pt-BR"/>
              </w:rPr>
              <w:t xml:space="preserve">, com ilustrações e terminando sempre com um </w:t>
            </w:r>
            <w:proofErr w:type="spellStart"/>
            <w:r w:rsidRPr="00974FD1">
              <w:rPr>
                <w:rFonts w:ascii="MSTT31c49b" w:eastAsia="Times New Roman" w:hAnsi="MSTT31c49b" w:cs="Times New Roman"/>
                <w:color w:val="000000"/>
                <w:sz w:val="24"/>
                <w:szCs w:val="24"/>
                <w:lang w:eastAsia="pt-BR"/>
              </w:rPr>
              <w:t>clip</w:t>
            </w:r>
            <w:proofErr w:type="spellEnd"/>
            <w:r w:rsidRPr="00974FD1">
              <w:rPr>
                <w:rFonts w:ascii="MSTT31c49b" w:eastAsia="Times New Roman" w:hAnsi="MSTT31c49b" w:cs="Times New Roman"/>
                <w:color w:val="000000"/>
                <w:sz w:val="24"/>
                <w:szCs w:val="24"/>
                <w:lang w:eastAsia="pt-BR"/>
              </w:rPr>
              <w:t xml:space="preserve"> </w:t>
            </w:r>
            <w:r w:rsidRPr="00974FD1">
              <w:rPr>
                <w:rFonts w:ascii="MSTT31c481" w:eastAsia="Times New Roman" w:hAnsi="MSTT31c481" w:cs="Times New Roman"/>
                <w:color w:val="000000"/>
                <w:sz w:val="24"/>
                <w:szCs w:val="24"/>
                <w:lang w:eastAsia="pt-BR"/>
              </w:rPr>
              <w:t>musical. É uma forma diferente de testemunhar e entregar um presente espiritual aos amigos. Procure no Ministério Jovem de Sua Associação ou Missão e</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proofErr w:type="gramStart"/>
            <w:r w:rsidRPr="00974FD1">
              <w:rPr>
                <w:rFonts w:ascii="MSTT31c481" w:eastAsia="Times New Roman" w:hAnsi="MSTT31c481" w:cs="Times New Roman"/>
                <w:color w:val="000000"/>
                <w:sz w:val="24"/>
                <w:szCs w:val="24"/>
                <w:lang w:eastAsia="pt-BR"/>
              </w:rPr>
              <w:t>conheça</w:t>
            </w:r>
            <w:proofErr w:type="gramEnd"/>
            <w:r w:rsidRPr="00974FD1">
              <w:rPr>
                <w:rFonts w:ascii="MSTT31c481" w:eastAsia="Times New Roman" w:hAnsi="MSTT31c481" w:cs="Times New Roman"/>
                <w:color w:val="000000"/>
                <w:sz w:val="24"/>
                <w:szCs w:val="24"/>
                <w:lang w:eastAsia="pt-BR"/>
              </w:rPr>
              <w:t xml:space="preserve"> o CD com um envelope especial..</w:t>
            </w:r>
          </w:p>
          <w:p w:rsidR="00974FD1" w:rsidRPr="00974FD1" w:rsidRDefault="00974FD1" w:rsidP="00974FD1">
            <w:pPr>
              <w:spacing w:before="27" w:after="14" w:line="240" w:lineRule="auto"/>
              <w:rPr>
                <w:rFonts w:ascii="Times New Roman" w:eastAsia="Times New Roman" w:hAnsi="Times New Roman" w:cs="Times New Roman"/>
                <w:sz w:val="24"/>
                <w:szCs w:val="24"/>
                <w:lang w:eastAsia="pt-BR"/>
              </w:rPr>
            </w:pPr>
            <w:r w:rsidRPr="00974FD1">
              <w:rPr>
                <w:rFonts w:ascii="MSTT31c677" w:eastAsia="Times New Roman" w:hAnsi="MSTT31c677" w:cs="Times New Roman"/>
                <w:color w:val="000000"/>
                <w:sz w:val="24"/>
                <w:szCs w:val="24"/>
                <w:lang w:eastAsia="pt-BR"/>
              </w:rPr>
              <w:t> </w:t>
            </w:r>
          </w:p>
          <w:p w:rsidR="00974FD1" w:rsidRPr="00974FD1" w:rsidRDefault="00974FD1" w:rsidP="00974FD1">
            <w:pPr>
              <w:spacing w:before="27" w:after="14" w:line="240" w:lineRule="auto"/>
              <w:ind w:left="41"/>
              <w:rPr>
                <w:rFonts w:ascii="Arial Unicode MS" w:eastAsia="Arial Unicode MS" w:hAnsi="Arial Unicode MS" w:cs="Arial Unicode MS"/>
                <w:sz w:val="20"/>
                <w:szCs w:val="20"/>
                <w:lang w:eastAsia="pt-BR"/>
              </w:rPr>
            </w:pPr>
            <w:r w:rsidRPr="00974FD1">
              <w:rPr>
                <w:rFonts w:ascii="Arial Unicode MS" w:eastAsia="Arial Unicode MS" w:hAnsi="Arial Unicode MS" w:cs="Arial Unicode MS"/>
                <w:sz w:val="20"/>
                <w:szCs w:val="20"/>
                <w:lang w:eastAsia="pt-BR"/>
              </w:rPr>
              <w:lastRenderedPageBreak/>
              <w:t> </w:t>
            </w:r>
          </w:p>
        </w:tc>
      </w:tr>
    </w:tbl>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TT31c537">
    <w:altName w:val="Times New Roman"/>
    <w:panose1 w:val="00000000000000000000"/>
    <w:charset w:val="00"/>
    <w:family w:val="roman"/>
    <w:notTrueType/>
    <w:pitch w:val="default"/>
    <w:sig w:usb0="00000000" w:usb1="00000000" w:usb2="00000000" w:usb3="00000000" w:csb0="00000000" w:csb1="00000000"/>
  </w:font>
  <w:font w:name="MSTT31c481">
    <w:altName w:val="Times New Roman"/>
    <w:panose1 w:val="00000000000000000000"/>
    <w:charset w:val="00"/>
    <w:family w:val="roman"/>
    <w:notTrueType/>
    <w:pitch w:val="default"/>
    <w:sig w:usb0="00000000" w:usb1="00000000" w:usb2="00000000" w:usb3="00000000" w:csb0="00000000" w:csb1="00000000"/>
  </w:font>
  <w:font w:name="MSTT31c49b">
    <w:altName w:val="Times New Roman"/>
    <w:panose1 w:val="00000000000000000000"/>
    <w:charset w:val="00"/>
    <w:family w:val="roman"/>
    <w:notTrueType/>
    <w:pitch w:val="default"/>
    <w:sig w:usb0="00000000" w:usb1="00000000" w:usb2="00000000" w:usb3="00000000" w:csb0="00000000" w:csb1="00000000"/>
  </w:font>
  <w:font w:name="MSTT31c677">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74FD1"/>
    <w:rsid w:val="00174906"/>
    <w:rsid w:val="006B284B"/>
    <w:rsid w:val="00974FD1"/>
    <w:rsid w:val="00B4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74F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74F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4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76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1605</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2012-10-05T18:55:00Z</dcterms:created>
  <dcterms:modified xsi:type="dcterms:W3CDTF">2012-10-05T18:55:00Z</dcterms:modified>
</cp:coreProperties>
</file>