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6D14A8" w:rsidRPr="006D14A8" w:rsidTr="006D14A8">
        <w:trPr>
          <w:jc w:val="center"/>
        </w:trPr>
        <w:tc>
          <w:tcPr>
            <w:tcW w:w="5000" w:type="pct"/>
            <w:tcBorders>
              <w:top w:val="nil"/>
              <w:left w:val="nil"/>
              <w:bottom w:val="nil"/>
              <w:right w:val="nil"/>
            </w:tcBorders>
            <w:shd w:val="clear" w:color="auto" w:fill="FFFFFF"/>
            <w:vAlign w:val="center"/>
            <w:hideMark/>
          </w:tcPr>
          <w:p w:rsidR="006D14A8" w:rsidRPr="006D14A8" w:rsidRDefault="006D14A8" w:rsidP="006D14A8">
            <w:pPr>
              <w:spacing w:before="30" w:after="15" w:line="240" w:lineRule="auto"/>
              <w:ind w:left="45"/>
              <w:rPr>
                <w:rFonts w:ascii="Times New Roman" w:eastAsia="Times New Roman" w:hAnsi="Times New Roman" w:cs="Times New Roman"/>
                <w:sz w:val="24"/>
                <w:szCs w:val="24"/>
                <w:lang w:eastAsia="pt-BR"/>
              </w:rPr>
            </w:pPr>
            <w:r>
              <w:rPr>
                <w:rFonts w:ascii="Arial" w:eastAsia="Times New Roman" w:hAnsi="Arial" w:cs="Arial"/>
                <w:noProof/>
                <w:sz w:val="20"/>
                <w:szCs w:val="20"/>
                <w:lang w:eastAsia="pt-BR"/>
              </w:rPr>
              <w:drawing>
                <wp:inline distT="0" distB="0" distL="0" distR="0">
                  <wp:extent cx="7151370" cy="1906270"/>
                  <wp:effectExtent l="19050" t="0" r="0" b="0"/>
                  <wp:docPr id="1" name="Imagem 1" descr="C:\Users\User\AppData\Local\Temp\Rar$EX68.830\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68.830\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6D14A8" w:rsidRPr="006D14A8" w:rsidTr="006D14A8">
        <w:trPr>
          <w:jc w:val="center"/>
        </w:trPr>
        <w:tc>
          <w:tcPr>
            <w:tcW w:w="5000" w:type="pct"/>
            <w:tcBorders>
              <w:top w:val="nil"/>
              <w:left w:val="nil"/>
              <w:bottom w:val="nil"/>
              <w:right w:val="nil"/>
            </w:tcBorders>
            <w:shd w:val="clear" w:color="auto" w:fill="FFFFFF"/>
            <w:vAlign w:val="center"/>
            <w:hideMark/>
          </w:tcPr>
          <w:p w:rsidR="006D14A8" w:rsidRPr="006D14A8" w:rsidRDefault="006D14A8" w:rsidP="006D14A8">
            <w:pPr>
              <w:spacing w:before="30" w:after="15" w:line="240" w:lineRule="auto"/>
              <w:rPr>
                <w:rFonts w:ascii="Arial" w:eastAsia="Times New Roman" w:hAnsi="Arial" w:cs="Arial"/>
                <w:sz w:val="20"/>
                <w:szCs w:val="20"/>
                <w:lang w:eastAsia="pt-BR"/>
              </w:rPr>
            </w:pPr>
            <w:r w:rsidRPr="006D14A8">
              <w:rPr>
                <w:rFonts w:ascii="Arial" w:eastAsia="Times New Roman" w:hAnsi="Arial" w:cs="Arial"/>
                <w:b/>
                <w:bCs/>
                <w:sz w:val="20"/>
                <w:szCs w:val="20"/>
                <w:lang w:eastAsia="pt-BR"/>
              </w:rPr>
              <w:t xml:space="preserve">Revista Ação Jovem -  </w:t>
            </w:r>
            <w:r w:rsidRPr="006D14A8">
              <w:rPr>
                <w:rFonts w:ascii="MSTT31c49b" w:eastAsia="Times New Roman" w:hAnsi="MSTT31c49b" w:cs="Arial"/>
                <w:b/>
                <w:bCs/>
                <w:color w:val="000000"/>
                <w:sz w:val="20"/>
                <w:szCs w:val="20"/>
                <w:lang w:eastAsia="pt-BR"/>
              </w:rPr>
              <w:t>DESAFIOS DO 2 TRIMESTRE</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9b" w:eastAsia="Times New Roman" w:hAnsi="MSTT31c49b"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537" w:eastAsia="Times New Roman" w:hAnsi="MSTT31c537" w:cs="Times New Roman"/>
                <w:b/>
                <w:bCs/>
                <w:color w:val="000000"/>
                <w:sz w:val="24"/>
                <w:szCs w:val="24"/>
                <w:lang w:eastAsia="pt-BR"/>
              </w:rPr>
              <w:t>Semana Santa (04-11/04)</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553" w:eastAsia="Times New Roman" w:hAnsi="MSTT31c553"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xml:space="preserve">É uma das melhores oportunidades para o evangelismo. Todas as pessoas estão com o coração aberto e os olhos voltados para o sacrifício de Cristo. Essa é, também, a primeira data de </w:t>
            </w:r>
            <w:r w:rsidRPr="006D14A8">
              <w:rPr>
                <w:rFonts w:ascii="MSTT31c45a" w:eastAsia="Times New Roman" w:hAnsi="MSTT31c45a" w:cs="Times New Roman"/>
                <w:color w:val="000000"/>
                <w:sz w:val="24"/>
                <w:szCs w:val="24"/>
                <w:lang w:eastAsia="pt-BR"/>
              </w:rPr>
              <w:t xml:space="preserve">Evangelismo Jovem </w:t>
            </w:r>
            <w:r w:rsidRPr="006D14A8">
              <w:rPr>
                <w:rFonts w:ascii="MSTT31c481" w:eastAsia="Times New Roman" w:hAnsi="MSTT31c481" w:cs="Times New Roman"/>
                <w:color w:val="000000"/>
                <w:sz w:val="24"/>
                <w:szCs w:val="24"/>
                <w:lang w:eastAsia="pt-BR"/>
              </w:rPr>
              <w:t xml:space="preserve">de 2004. Procure envolver os jovens com o programa. Você pode apoiar o programa da  igreja, ou realizar uma campanha de evangelismo com os jovens. </w:t>
            </w:r>
            <w:r w:rsidRPr="006D14A8">
              <w:rPr>
                <w:rFonts w:ascii="MSTT31c4cf" w:eastAsia="Times New Roman" w:hAnsi="MSTT31c4cf" w:cs="Times New Roman"/>
                <w:color w:val="000000"/>
                <w:sz w:val="24"/>
                <w:szCs w:val="24"/>
                <w:lang w:eastAsia="pt-BR"/>
              </w:rPr>
              <w:t>Este é o ano do evangelismo jove</w:t>
            </w:r>
            <w:r w:rsidRPr="006D14A8">
              <w:rPr>
                <w:rFonts w:ascii="MSTT31c481" w:eastAsia="Times New Roman" w:hAnsi="MSTT31c481" w:cs="Times New Roman"/>
                <w:color w:val="000000"/>
                <w:sz w:val="24"/>
                <w:szCs w:val="24"/>
                <w:lang w:eastAsia="pt-BR"/>
              </w:rPr>
              <w:t>m, e não podemos perder essa oportunidade.</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537" w:eastAsia="Times New Roman" w:hAnsi="MSTT31c537" w:cs="Times New Roman"/>
                <w:b/>
                <w:bCs/>
                <w:color w:val="000000"/>
                <w:sz w:val="24"/>
                <w:szCs w:val="24"/>
                <w:lang w:eastAsia="pt-BR"/>
              </w:rPr>
              <w:t>Dia das Mães (09/05)</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Em alguns países esse é o mês onde se comemora o dia das mães. Não deixe de homenageá-las, elas merecem. Por outro lado, não se esqueça de que todas as nossas atividades precisam ter um foco missionário.</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xml:space="preserve">Aproveite o programa especial deste dia para homenagear mães que não sejam adventistas. Você pode fazer serenatas para elas, pode visitar mães conhecidas na sua região para homenageá-las e entregar literatura, você também pode entregar um cartão ou uma rosa nos semáforos. Já pensou em organizar um </w:t>
            </w:r>
            <w:r w:rsidRPr="006D14A8">
              <w:rPr>
                <w:rFonts w:ascii="MSTT31c49b" w:eastAsia="Times New Roman" w:hAnsi="MSTT31c49b" w:cs="Times New Roman"/>
                <w:color w:val="000000"/>
                <w:sz w:val="24"/>
                <w:szCs w:val="24"/>
                <w:lang w:eastAsia="pt-BR"/>
              </w:rPr>
              <w:t>"Alô Mamã</w:t>
            </w:r>
            <w:r w:rsidRPr="006D14A8">
              <w:rPr>
                <w:rFonts w:ascii="MSTT31c481" w:eastAsia="Times New Roman" w:hAnsi="MSTT31c481" w:cs="Times New Roman"/>
                <w:color w:val="000000"/>
                <w:sz w:val="24"/>
                <w:szCs w:val="24"/>
                <w:lang w:eastAsia="pt-BR"/>
              </w:rPr>
              <w:t>e"? As mamães podem ligar para um telefone escolhido por você e receber uma mensagem especial. Enfim, busque uma maneira de evangelizar junto com as homenagens do dia das mães. Esta é nossa missão.</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537" w:eastAsia="Times New Roman" w:hAnsi="MSTT31c537" w:cs="Times New Roman"/>
                <w:b/>
                <w:bCs/>
                <w:color w:val="000000"/>
                <w:sz w:val="24"/>
                <w:szCs w:val="24"/>
                <w:lang w:eastAsia="pt-BR"/>
              </w:rPr>
              <w:t>Grupos de estudo da Bíblia para jovens</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xml:space="preserve">A partir do mês de maio os jovens serão desafiados a organizar grupos de estudo da Bíblia. Eles não são os pequenos grupos normais da igreja. São classes de estudo bíblico. Podem ser aproveitados os pequenos grupos que já existam, mas com uma outra programação. Eles devem ser organizados em um lugar informal e perto de onde as pessoas interessadas estão. Podem ser feitos em uma escola, casa, clube, empresa e inclusive na igreja. Em cada encontro dos grupos será estudado o curso Bíblico </w:t>
            </w:r>
            <w:r w:rsidRPr="006D14A8">
              <w:rPr>
                <w:rFonts w:ascii="MSTT31c4cf" w:eastAsia="Times New Roman" w:hAnsi="MSTT31c4cf" w:cs="Times New Roman"/>
                <w:color w:val="000000"/>
                <w:sz w:val="24"/>
                <w:szCs w:val="24"/>
                <w:lang w:eastAsia="pt-BR"/>
              </w:rPr>
              <w:t>"A Bíblia Ensina -para joven</w:t>
            </w:r>
            <w:r w:rsidRPr="006D14A8">
              <w:rPr>
                <w:rFonts w:ascii="MSTT31c481" w:eastAsia="Times New Roman" w:hAnsi="MSTT31c481" w:cs="Times New Roman"/>
                <w:color w:val="000000"/>
                <w:sz w:val="24"/>
                <w:szCs w:val="24"/>
                <w:lang w:eastAsia="pt-BR"/>
              </w:rPr>
              <w:t>s", com ênfase no diálogo e na amizade. São ferramentas que abrem a porta do coração para a aceitação da mensagem estudada. O grande desafio é levar jovens ao Batismo da Primavera.</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537" w:eastAsia="Times New Roman" w:hAnsi="MSTT31c537" w:cs="Times New Roman"/>
                <w:b/>
                <w:bCs/>
                <w:color w:val="000000"/>
                <w:sz w:val="24"/>
                <w:szCs w:val="24"/>
                <w:lang w:eastAsia="pt-BR"/>
              </w:rPr>
              <w:t>Dia dos Namorados (12/06)</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xml:space="preserve">Essa data não pode ficar de fora da programação JA. Para que ela dê certo, porém, é preciso trabalhar com antecedência e ter um programa bem organizado e criativo. </w:t>
            </w:r>
            <w:r w:rsidRPr="006D14A8">
              <w:rPr>
                <w:rFonts w:ascii="MSTT31c481" w:eastAsia="Times New Roman" w:hAnsi="MSTT31c481" w:cs="Times New Roman"/>
                <w:color w:val="000000"/>
                <w:sz w:val="24"/>
                <w:szCs w:val="24"/>
                <w:lang w:eastAsia="pt-BR"/>
              </w:rPr>
              <w:lastRenderedPageBreak/>
              <w:t xml:space="preserve">Defina desde cedo onde será o programa, o preço para cada casal, o tema que será usado, como será a ornamentação e que atividades serão desenvolvidas. O programa precisa ser romântico e sem muito falatório. Os casais precisam ter o seu momento. Faça um programa de qualidade, mas evite exageros.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Não se esqueça que é um programa de namorados, mas realizado pela igreja. Valorize</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o social, mas priorize o espiritual. É possível fazer isso com criatividade.</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 </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537" w:eastAsia="Times New Roman" w:hAnsi="MSTT31c537" w:cs="Times New Roman"/>
                <w:b/>
                <w:bCs/>
                <w:color w:val="000000"/>
                <w:sz w:val="24"/>
                <w:szCs w:val="24"/>
                <w:lang w:eastAsia="pt-BR"/>
              </w:rPr>
              <w:t>Planejamento do Evangelismo Jovem</w:t>
            </w:r>
          </w:p>
          <w:p w:rsidR="006D14A8" w:rsidRPr="006D14A8" w:rsidRDefault="006D14A8" w:rsidP="006D14A8">
            <w:pPr>
              <w:spacing w:before="30" w:after="15" w:line="240" w:lineRule="auto"/>
              <w:rPr>
                <w:rFonts w:ascii="Times New Roman" w:eastAsia="Times New Roman" w:hAnsi="Times New Roman" w:cs="Times New Roman"/>
                <w:sz w:val="24"/>
                <w:szCs w:val="24"/>
                <w:lang w:eastAsia="pt-BR"/>
              </w:rPr>
            </w:pPr>
            <w:r w:rsidRPr="006D14A8">
              <w:rPr>
                <w:rFonts w:ascii="MSTT31c481" w:eastAsia="Times New Roman" w:hAnsi="MSTT31c481" w:cs="Times New Roman"/>
                <w:color w:val="000000"/>
                <w:sz w:val="24"/>
                <w:szCs w:val="24"/>
                <w:lang w:eastAsia="pt-BR"/>
              </w:rPr>
              <w:t>Esta é a melhor época para iniciar os planos do evangelismo jovem do 2º semestre. Será a época de programação mais forte. Você já tem o calendário geral do evangelismo jovem na Ação Jovem. É só olhar e começar a organizar quem vai fazer o que, onde e quando. Não deixe as datas passarem em branco. Vamos fazer um evangelismo forte, sério, que tenha bons resultados e que cumpra a missão que Deus nos confiou.</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TT31c49b">
    <w:altName w:val="Times New Roman"/>
    <w:panose1 w:val="00000000000000000000"/>
    <w:charset w:val="00"/>
    <w:family w:val="roman"/>
    <w:notTrueType/>
    <w:pitch w:val="default"/>
    <w:sig w:usb0="00000000" w:usb1="00000000" w:usb2="00000000" w:usb3="00000000" w:csb0="00000000" w:csb1="00000000"/>
  </w:font>
  <w:font w:name="MSTT31c537">
    <w:altName w:val="Times New Roman"/>
    <w:panose1 w:val="00000000000000000000"/>
    <w:charset w:val="00"/>
    <w:family w:val="roman"/>
    <w:notTrueType/>
    <w:pitch w:val="default"/>
    <w:sig w:usb0="00000000" w:usb1="00000000" w:usb2="00000000" w:usb3="00000000" w:csb0="00000000" w:csb1="00000000"/>
  </w:font>
  <w:font w:name="MSTT31c553">
    <w:altName w:val="Times New Roman"/>
    <w:panose1 w:val="00000000000000000000"/>
    <w:charset w:val="00"/>
    <w:family w:val="roman"/>
    <w:notTrueType/>
    <w:pitch w:val="default"/>
    <w:sig w:usb0="00000000" w:usb1="00000000" w:usb2="00000000" w:usb3="00000000" w:csb0="00000000" w:csb1="00000000"/>
  </w:font>
  <w:font w:name="MSTT31c481">
    <w:altName w:val="Times New Roman"/>
    <w:panose1 w:val="00000000000000000000"/>
    <w:charset w:val="00"/>
    <w:family w:val="roman"/>
    <w:notTrueType/>
    <w:pitch w:val="default"/>
    <w:sig w:usb0="00000000" w:usb1="00000000" w:usb2="00000000" w:usb3="00000000" w:csb0="00000000" w:csb1="00000000"/>
  </w:font>
  <w:font w:name="MSTT31c45a">
    <w:altName w:val="Times New Roman"/>
    <w:panose1 w:val="00000000000000000000"/>
    <w:charset w:val="00"/>
    <w:family w:val="roman"/>
    <w:notTrueType/>
    <w:pitch w:val="default"/>
    <w:sig w:usb0="00000000" w:usb1="00000000" w:usb2="00000000" w:usb3="00000000" w:csb0="00000000" w:csb1="00000000"/>
  </w:font>
  <w:font w:name="MSTT31c4c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D14A8"/>
    <w:rsid w:val="00252EE6"/>
    <w:rsid w:val="006B284B"/>
    <w:rsid w:val="006D14A8"/>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D14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D14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4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0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2592</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2012-10-05T18:51:00Z</dcterms:created>
  <dcterms:modified xsi:type="dcterms:W3CDTF">2012-10-05T18:51:00Z</dcterms:modified>
</cp:coreProperties>
</file>